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01.png" ContentType="image/png"/>
  <Override PartName="/word/media/rId105.png" ContentType="image/png"/>
  <Override PartName="/word/media/rId97.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30,</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 Furthermore,</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Hence, despite previous queer migration scholarship largely focusing on asylum seekers and others escaping repressive contexts, these migrants appear to be among the most well-off immigrants in the U.S.</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analyses and regression analyses to study how settlement patterns of immigrants in same-sex couples in the U.S. respond to local and national policy changes as well as other local factors. Findings suggest that LGB migrants are more similar to migrants than to LGB people who are not migrants. However, they tend to live in more advantaged areas than either group.</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native-born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_new">
        <w:r>
          <w:rPr>
            <w:rStyle w:val="Hyperlink"/>
            <w:bCs/>
            <w:b/>
          </w:rPr>
          <w:t xml:space="preserve">spring_2024_new?</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native-born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 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3_cities">
        <w:r>
          <w:rPr>
            <w:rStyle w:val="Hyperlink"/>
            <w:bCs/>
            <w:b/>
          </w:rPr>
          <w:t xml:space="preserve">florida_2003_cities?</w:t>
        </w:r>
      </w:hyperlink>
      <w:r>
        <w:t xml:space="preserve">;</w:t>
      </w:r>
      <w:r>
        <w:t xml:space="preserve"> </w:t>
      </w:r>
      <w:hyperlink w:anchor="ref-black_2002_why">
        <w:r>
          <w:rPr>
            <w:rStyle w:val="Hyperlink"/>
            <w:bCs/>
            <w:b/>
          </w:rPr>
          <w:t xml:space="preserve">black_2002_why?</w:t>
        </w:r>
      </w:hyperlink>
      <w:r>
        <w:t xml:space="preserve">;</w:t>
      </w:r>
      <w:r>
        <w:t xml:space="preserve"> </w:t>
      </w:r>
      <w:hyperlink w:anchor="ref-lee_2018_health">
        <w:r>
          <w:rPr>
            <w:rStyle w:val="Hyperlink"/>
            <w:bCs/>
            <w:b/>
          </w:rPr>
          <w:t xml:space="preserve">lee_2018_health?</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bCs/>
            <w:b/>
          </w:rPr>
          <w:t xml:space="preserve">black_2002_why?</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_out">
        <w:r>
          <w:rPr>
            <w:rStyle w:val="Hyperlink"/>
            <w:bCs/>
            <w:b/>
          </w:rPr>
          <w:t xml:space="preserve">hayslett_2011_out?</w:t>
        </w:r>
      </w:hyperlink>
      <w:r>
        <w:t xml:space="preserve">;</w:t>
      </w:r>
      <w:r>
        <w:t xml:space="preserve"> </w:t>
      </w:r>
      <w:hyperlink w:anchor="ref-lee_2018_health">
        <w:r>
          <w:rPr>
            <w:rStyle w:val="Hyperlink"/>
            <w:bCs/>
            <w:b/>
          </w:rPr>
          <w:t xml:space="preserve">lee_2018_health?</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6_there">
        <w:r>
          <w:rPr>
            <w:rStyle w:val="Hyperlink"/>
            <w:bCs/>
            <w:b/>
          </w:rPr>
          <w:t xml:space="preserve">ghaziani_2016_there?</w:t>
        </w:r>
      </w:hyperlink>
      <w:r>
        <w:t xml:space="preserve">)</w:t>
      </w:r>
      <w:r>
        <w:t xml:space="preserve">. By extension, this urban-focused set of research looks at transformations of gayborhoods and changes in sexuality-based residential segregation</w:t>
      </w:r>
      <w:r>
        <w:t xml:space="preserve"> </w:t>
      </w:r>
      <w:r>
        <w:t xml:space="preserve">(</w:t>
      </w:r>
      <w:hyperlink w:anchor="ref-ghaziani_2016_there">
        <w:r>
          <w:rPr>
            <w:rStyle w:val="Hyperlink"/>
            <w:bCs/>
            <w:b/>
          </w:rPr>
          <w:t xml:space="preserve">ghaziani_2016_there?</w:t>
        </w:r>
      </w:hyperlink>
      <w:r>
        <w:t xml:space="preserve">;</w:t>
      </w:r>
      <w:r>
        <w:t xml:space="preserve"> </w:t>
      </w:r>
      <w:hyperlink w:anchor="ref-spring_2024_new">
        <w:r>
          <w:rPr>
            <w:rStyle w:val="Hyperlink"/>
            <w:bCs/>
            <w:b/>
          </w:rPr>
          <w:t xml:space="preserve">spring_2024_new?</w:t>
        </w:r>
      </w:hyperlink>
      <w:r>
        <w:t xml:space="preserve">)</w:t>
      </w:r>
      <w:r>
        <w:t xml:space="preserve">. Finally, one distinct characteristic is the role of progressive policies like same-sex marriage and non-discrimination protections in influencing attitudes toward migration and actual migration practices</w:t>
      </w:r>
      <w:r>
        <w:t xml:space="preserve"> </w:t>
      </w:r>
      <w:r>
        <w:t xml:space="preserve">(</w:t>
      </w:r>
      <w:hyperlink w:anchor="ref-baumle_2023_effects">
        <w:r>
          <w:rPr>
            <w:rStyle w:val="Hyperlink"/>
            <w:bCs/>
            <w:b/>
          </w:rPr>
          <w:t xml:space="preserve">baumle_2023_effects?</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Combined,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_declining">
        <w:r>
          <w:rPr>
            <w:rStyle w:val="Hyperlink"/>
            <w:bCs/>
            <w:b/>
          </w:rPr>
          <w:t xml:space="preserve">spring_2013_declining?</w:t>
        </w:r>
      </w:hyperlink>
      <w:r>
        <w:t xml:space="preserve">;</w:t>
      </w:r>
      <w:r>
        <w:t xml:space="preserve"> </w:t>
      </w:r>
      <w:hyperlink w:anchor="ref-spring_2024_new">
        <w:r>
          <w:rPr>
            <w:rStyle w:val="Hyperlink"/>
            <w:bCs/>
            <w:b/>
          </w:rPr>
          <w:t xml:space="preserve">spring_2024_new?</w:t>
        </w:r>
      </w:hyperlink>
      <w:r>
        <w:t xml:space="preserve">)</w:t>
      </w:r>
      <w:r>
        <w:t xml:space="preserve">. These trends have invited additional research to understand the spread of same-sex couples into suburban and rural localities. For example, some find same-sex couples to leave urban centers due to rising housing values, patterns of poverty, and discriminatory lending practices encourage dispersion of the population</w:t>
      </w:r>
      <w:r>
        <w:t xml:space="preserve"> </w:t>
      </w:r>
      <w:r>
        <w:t xml:space="preserve">(</w:t>
      </w:r>
      <w:hyperlink w:anchor="ref-spring_2024_new">
        <w:r>
          <w:rPr>
            <w:rStyle w:val="Hyperlink"/>
            <w:bCs/>
            <w:b/>
          </w:rPr>
          <w:t xml:space="preserve">spring_2024_new?</w:t>
        </w:r>
      </w:hyperlink>
      <w:r>
        <w:t xml:space="preserve">)</w:t>
      </w:r>
      <w:r>
        <w:t xml:space="preserve">. These trends also underscore the argument made by</w:t>
      </w:r>
      <w:r>
        <w:t xml:space="preserve"> </w:t>
      </w:r>
      <w:r>
        <w:t xml:space="preserve">(</w:t>
      </w:r>
      <w:hyperlink w:anchor="ref-stone_2018_the">
        <w:r>
          <w:rPr>
            <w:rStyle w:val="Hyperlink"/>
            <w:bCs/>
            <w:b/>
          </w:rPr>
          <w:t xml:space="preserve">stone_2018_the?</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citiies, the South, and rural locals. Indeed, same-sex couples’ increased representation within red states and rural counties may underscore the increased acceptance and social integration of these unions</w:t>
      </w:r>
      <w:r>
        <w:t xml:space="preserve"> </w:t>
      </w:r>
      <w:r>
        <w:t xml:space="preserve">(</w:t>
      </w:r>
      <w:hyperlink w:anchor="ref-marino_2024_visualizing">
        <w:r>
          <w:rPr>
            <w:rStyle w:val="Hyperlink"/>
            <w:bCs/>
            <w:b/>
          </w:rPr>
          <w:t xml:space="preserve">marino_2024_visualizing?</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_visualizing">
        <w:r>
          <w:rPr>
            <w:rStyle w:val="Hyperlink"/>
            <w:bCs/>
            <w:b/>
          </w:rPr>
          <w:t xml:space="preserve">marino_2024_visualizing?</w:t>
        </w:r>
      </w:hyperlink>
      <w:r>
        <w:t xml:space="preserve">)</w:t>
      </w:r>
      <w:r>
        <w:t xml:space="preserve">. More research is needed, then, to understand patterns at lower levels of aggregation</w:t>
      </w:r>
      <w:r>
        <w:t xml:space="preserve"> </w:t>
      </w:r>
      <w:r>
        <w:t xml:space="preserve">(</w:t>
      </w:r>
      <w:hyperlink w:anchor="ref-spring_2024_new">
        <w:r>
          <w:rPr>
            <w:rStyle w:val="Hyperlink"/>
            <w:bCs/>
            <w:b/>
          </w:rPr>
          <w:t xml:space="preserve">spring_2024_new?</w:t>
        </w:r>
      </w:hyperlink>
      <w:r>
        <w:t xml:space="preserve">)</w:t>
      </w:r>
      <w:r>
        <w:t xml:space="preserve">. Additionally, this research on same-sex couples typically assumes all respondents are native-born Americans. Consequently, it is unknown whether the patterns exhibited here are in any way reflective of immigrants in similar unions. Because</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find immigrants in same-sex couples to be of relatively more privileged socioeconomic status compared to immigrants in different-sex couples, it is possible these immigrants may be settled in patterns more reflective of their native LGB counterparts than their fellow immigrants. Considering that a key driver of immigrants in same-sex couples is through mixed-status marriages after DOMA</w:t>
      </w:r>
      <w:r>
        <w:t xml:space="preserve"> </w:t>
      </w:r>
      <w:r>
        <w:t xml:space="preserve">(</w:t>
      </w:r>
      <w:hyperlink w:anchor="ref-hoffmann_2024_policy">
        <w:r>
          <w:rPr>
            <w:rStyle w:val="Hyperlink"/>
          </w:rPr>
          <w:t xml:space="preserve">Hoffmann and Velasco 2024</w:t>
        </w:r>
      </w:hyperlink>
      <w:r>
        <w:t xml:space="preserve">)</w:t>
      </w:r>
      <w:r>
        <w:t xml:space="preserve">, it likely means settlement patterns are more similar to native-born LGB individuals.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1.9e+08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social, economic, and spatial variables at the PUMA level in the ACS. The first set of variables are the percentage of individuals in the PUMA with the following characteristics: who hold at least a bachelor’s degree, who identify as Black, who identify as Hispanic, who own their own home, who are immigrants (born outside the U.S.), whose income is under 100% or 200% of the poverty line, and who are unemployed. Next are the mean PUMA-level values of personal income, age,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 We also use a measure of density of the PUMA in persons per square mile.</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The state index ranges from -2 to 7, and the mean state policy score in this time period is 3.4.</w:t>
      </w:r>
    </w:p>
    <w:p>
      <w:pPr>
        <w:pStyle w:val="BodyText"/>
      </w:pPr>
      <w:r>
        <w:t xml:space="preserve">Our second outside data source is a measure of the prevalence of LGBTQ+ and immigrant-serving nonprofits in a given PUMA.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w:t>
      </w:r>
      <w:hyperlink w:anchor="ref-velasco_2023_deconstructed">
        <w:r>
          <w:rPr>
            <w:rStyle w:val="Hyperlink"/>
            <w:bCs/>
            <w:b/>
          </w:rPr>
          <w:t xml:space="preserve">velasco_2023_deconstructed?</w:t>
        </w:r>
      </w:hyperlink>
      <w:r>
        <w:t xml:space="preserve">)</w:t>
      </w:r>
      <w:r>
        <w:t xml:space="preserve">, who found LGBTQ+ nonprofits operating under other classification designations.</w:t>
      </w:r>
    </w:p>
    <w:p>
      <w:pPr>
        <w:pStyle w:val="BodyText"/>
      </w:pPr>
      <w:r>
        <w:t xml:space="preserve">Means for all of these variables by group are presented in Table</w:t>
      </w:r>
      <w:r>
        <w:t xml:space="preserve"> </w:t>
      </w:r>
      <w:r>
        <w:t xml:space="preserve">1</w:t>
      </w:r>
      <w:r>
        <w:t xml:space="preserve">.</w:t>
      </w:r>
    </w:p>
    <w:bookmarkEnd w:id="26"/>
    <w:bookmarkStart w:id="27"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For the next stage of the analysis, we use OLS models. One of our goals is to isolate the effect of country-of-origin LGB policy on the immigration of immigrants in same-sex couples. The ideal survey would follow potential immigrants over time and have information about sexual orientation, allowing us to estimate how choice of residence varies by sexual orientation. This ideal dataset does not exist, but we attempt to approximate it. First, to study how different LGB migrants are from straight ones, we reshape the data so that each observation is the percentage of individual cohabiting immigrants in same-sex couples in PUMA</w:t>
      </w:r>
      <w:r>
        <w:t xml:space="preserve"> </w:t>
      </w:r>
      <m:oMath>
        <m:r>
          <m:t>x</m:t>
        </m:r>
      </m:oMath>
      <w:r>
        <w:t xml:space="preserve"> </w:t>
      </w:r>
      <w:r>
        <w:t xml:space="preserve">in survey year</w:t>
      </w:r>
      <w:r>
        <w:t xml:space="preserve"> </w:t>
      </w:r>
      <m:oMath>
        <m:r>
          <m:t>y</m:t>
        </m:r>
      </m:oMath>
      <w:r>
        <w:t xml:space="preserve">, out of all cohabiting immigrants in that PUMA. We regress the resulting percentage on the set of variables discussed above, adding state and year fixed effects and clustering errors at the state and year levels. We then repeat this analysis, but with the aim of determining how different LGB migrants are from LGB non-migrants. We reshape the data so that each observation is the percentage of immigrants in same-sex couples</w:t>
      </w:r>
      <w:r>
        <w:t xml:space="preserve"> </w:t>
      </w:r>
      <w:r>
        <w:rPr>
          <w:iCs/>
          <w:i/>
        </w:rPr>
        <w:t xml:space="preserve">out of all same-sex couples</w:t>
      </w:r>
      <w:r>
        <w:t xml:space="preserve">, in PUMA</w:t>
      </w:r>
      <w:r>
        <w:t xml:space="preserve"> </w:t>
      </w:r>
      <m:oMath>
        <m:r>
          <m:t>x</m:t>
        </m:r>
      </m:oMath>
      <w:r>
        <w:t xml:space="preserve"> </w:t>
      </w:r>
      <w:r>
        <w:t xml:space="preserve">in survey year</w:t>
      </w:r>
      <w:r>
        <w:t xml:space="preserve"> </w:t>
      </w:r>
      <m:oMath>
        <m:r>
          <m:t>y</m:t>
        </m:r>
      </m:oMath>
      <w:r>
        <w:t xml:space="preserve">.</w:t>
      </w:r>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(out of all coupled immigrants) if fewer people own their own home, the average age is higher, the percentage of immigrants is lower, more people are above the poverty line, homes are worth somewhat less, the number of LGBT nonprofits is higher, and the number of immigrant nonprofits is lower.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Compared to LGB individuals more broadly, LGB immigrants tend to live in areas with more Black and Hispanic people, lower income, more people who own their own home, higher percentages of immigrants, higher home prices greater density, and with fewer immigrant nonprofits.</w:t>
      </w:r>
    </w:p>
    <w:bookmarkEnd w:id="30"/>
    <w:bookmarkEnd w:id="31"/>
    <w:bookmarkStart w:id="32" w:name="discussion-and-conclusion"/>
    <w:p>
      <w:pPr>
        <w:pStyle w:val="Heading1"/>
      </w:pPr>
      <w:r>
        <w:t xml:space="preserve">Discussion and Conclusion</w:t>
      </w:r>
    </w:p>
    <w:p>
      <w:r>
        <w:br w:type="page"/>
      </w:r>
    </w:p>
    <w:bookmarkEnd w:id="32"/>
    <w:bookmarkStart w:id="91" w:name="references"/>
    <w:p>
      <w:pPr>
        <w:pStyle w:val="Heading1"/>
      </w:pPr>
      <w:r>
        <w:t xml:space="preserve">References</w:t>
      </w:r>
    </w:p>
    <w:bookmarkStart w:id="90"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8"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38"/>
    <w:bookmarkStart w:id="40"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39">
        <w:r>
          <w:rPr>
            <w:rStyle w:val="Hyperlink"/>
          </w:rPr>
          <w:t xml:space="preserve">https://doi.org/10.1080/1387698042000273479</w:t>
        </w:r>
      </w:hyperlink>
      <w:r>
        <w:t xml:space="preserve">.</w:t>
      </w:r>
    </w:p>
    <w:bookmarkEnd w:id="40"/>
    <w:bookmarkStart w:id="42"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1">
        <w:r>
          <w:rPr>
            <w:rStyle w:val="Hyperlink"/>
          </w:rPr>
          <w:t xml:space="preserve">https://doi.org/10.1111/kykl.12206</w:t>
        </w:r>
      </w:hyperlink>
      <w:r>
        <w:t xml:space="preserve">.</w:t>
      </w:r>
    </w:p>
    <w:bookmarkEnd w:id="42"/>
    <w:bookmarkStart w:id="44"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43">
        <w:r>
          <w:rPr>
            <w:rStyle w:val="Hyperlink"/>
          </w:rPr>
          <w:t xml:space="preserve">https://doi.org/10.1177/0002716219857667</w:t>
        </w:r>
      </w:hyperlink>
      <w:r>
        <w:t xml:space="preserve">.</w:t>
      </w:r>
    </w:p>
    <w:bookmarkEnd w:id="44"/>
    <w:bookmarkStart w:id="46"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45">
        <w:r>
          <w:rPr>
            <w:rStyle w:val="Hyperlink"/>
          </w:rPr>
          <w:t xml:space="preserve">https://www.jstor.org/stable/42864364</w:t>
        </w:r>
      </w:hyperlink>
      <w:r>
        <w:t xml:space="preserve">.</w:t>
      </w:r>
    </w:p>
    <w:bookmarkEnd w:id="46"/>
    <w:bookmarkStart w:id="47"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47"/>
    <w:bookmarkStart w:id="49"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48">
        <w:r>
          <w:rPr>
            <w:rStyle w:val="Hyperlink"/>
          </w:rPr>
          <w:t xml:space="preserve">https://doi.org/10.1146/annurev-soc-090320-100926</w:t>
        </w:r>
      </w:hyperlink>
      <w:r>
        <w:t xml:space="preserve">.</w:t>
      </w:r>
    </w:p>
    <w:bookmarkEnd w:id="49"/>
    <w:bookmarkStart w:id="5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0"/>
    <w:bookmarkStart w:id="5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51"/>
    <w:bookmarkStart w:id="52"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2"/>
    <w:bookmarkStart w:id="53"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53"/>
    <w:bookmarkStart w:id="55"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54">
        <w:r>
          <w:rPr>
            <w:rStyle w:val="Hyperlink"/>
          </w:rPr>
          <w:t xml:space="preserve">https://doi.org/10.1007/s13524-012-0177-x</w:t>
        </w:r>
      </w:hyperlink>
      <w:r>
        <w:t xml:space="preserve">.</w:t>
      </w:r>
    </w:p>
    <w:bookmarkEnd w:id="55"/>
    <w:bookmarkStart w:id="57"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56">
        <w:r>
          <w:rPr>
            <w:rStyle w:val="Hyperlink"/>
          </w:rPr>
          <w:t xml:space="preserve">https://doi.org/10.7551/mitpress/3303.001.0001</w:t>
        </w:r>
      </w:hyperlink>
      <w:r>
        <w:t xml:space="preserve">.</w:t>
      </w:r>
    </w:p>
    <w:bookmarkEnd w:id="57"/>
    <w:bookmarkStart w:id="59"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58">
        <w:r>
          <w:rPr>
            <w:rStyle w:val="Hyperlink"/>
          </w:rPr>
          <w:t xml:space="preserve">https://www.jstor.org/stable/271107</w:t>
        </w:r>
      </w:hyperlink>
      <w:r>
        <w:t xml:space="preserve">.</w:t>
      </w:r>
    </w:p>
    <w:bookmarkEnd w:id="59"/>
    <w:bookmarkStart w:id="60"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60"/>
    <w:bookmarkStart w:id="62"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61">
        <w:r>
          <w:rPr>
            <w:rStyle w:val="Hyperlink"/>
          </w:rPr>
          <w:t xml:space="preserve">https://doi.org/10.1177/01979183231187623</w:t>
        </w:r>
      </w:hyperlink>
      <w:r>
        <w:t xml:space="preserve">.</w:t>
      </w:r>
    </w:p>
    <w:bookmarkEnd w:id="62"/>
    <w:bookmarkStart w:id="64"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63">
        <w:r>
          <w:rPr>
            <w:rStyle w:val="Hyperlink"/>
          </w:rPr>
          <w:t xml:space="preserve">https://doi.org/10.1093/sf/soad108</w:t>
        </w:r>
      </w:hyperlink>
      <w:r>
        <w:t xml:space="preserve">.</w:t>
      </w:r>
    </w:p>
    <w:bookmarkEnd w:id="64"/>
    <w:bookmarkStart w:id="66"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65">
        <w:r>
          <w:rPr>
            <w:rStyle w:val="Hyperlink"/>
          </w:rPr>
          <w:t xml:space="preserve">https://doi.org/10.1353/dem.2008.0009</w:t>
        </w:r>
      </w:hyperlink>
      <w:r>
        <w:t xml:space="preserve">.</w:t>
      </w:r>
    </w:p>
    <w:bookmarkEnd w:id="66"/>
    <w:bookmarkStart w:id="68"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67">
        <w:r>
          <w:rPr>
            <w:rStyle w:val="Hyperlink"/>
          </w:rPr>
          <w:t xml:space="preserve">https://doi.org/10.1007/s00148-021-00842-5</w:t>
        </w:r>
      </w:hyperlink>
      <w:r>
        <w:t xml:space="preserve">.</w:t>
      </w:r>
    </w:p>
    <w:bookmarkEnd w:id="68"/>
    <w:bookmarkStart w:id="70"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69">
        <w:r>
          <w:rPr>
            <w:rStyle w:val="Hyperlink"/>
          </w:rPr>
          <w:t xml:space="preserve">https://doi.org/10.1007/s12122-020-09305-4</w:t>
        </w:r>
      </w:hyperlink>
      <w:r>
        <w:t xml:space="preserve">.</w:t>
      </w:r>
    </w:p>
    <w:bookmarkEnd w:id="70"/>
    <w:bookmarkStart w:id="71"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71"/>
    <w:bookmarkStart w:id="72"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72"/>
    <w:bookmarkStart w:id="73"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73"/>
    <w:bookmarkStart w:id="75"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74">
        <w:r>
          <w:rPr>
            <w:rStyle w:val="Hyperlink"/>
          </w:rPr>
          <w:t xml:space="preserve">https://doi.org/10.1111/j.1944-8287.1999.tb00079.x</w:t>
        </w:r>
      </w:hyperlink>
      <w:r>
        <w:t xml:space="preserve">.</w:t>
      </w:r>
    </w:p>
    <w:bookmarkEnd w:id="75"/>
    <w:bookmarkStart w:id="76"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76"/>
    <w:bookmarkStart w:id="77"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77"/>
    <w:bookmarkStart w:id="78"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78"/>
    <w:bookmarkStart w:id="80"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79">
        <w:r>
          <w:rPr>
            <w:rStyle w:val="Hyperlink"/>
          </w:rPr>
          <w:t xml:space="preserve">https://doi.org/10.1353/dem.2005.0025</w:t>
        </w:r>
      </w:hyperlink>
      <w:r>
        <w:t xml:space="preserve">.</w:t>
      </w:r>
    </w:p>
    <w:bookmarkEnd w:id="80"/>
    <w:bookmarkStart w:id="81"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81"/>
    <w:bookmarkStart w:id="82"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82"/>
    <w:bookmarkStart w:id="83"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83"/>
    <w:bookmarkStart w:id="85"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84">
        <w:r>
          <w:rPr>
            <w:rStyle w:val="Hyperlink"/>
          </w:rPr>
          <w:t xml:space="preserve">https://doi.org/10.31235/osf.io/6wx2h</w:t>
        </w:r>
      </w:hyperlink>
      <w:r>
        <w:t xml:space="preserve">.</w:t>
      </w:r>
    </w:p>
    <w:bookmarkEnd w:id="85"/>
    <w:bookmarkStart w:id="87"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86">
        <w:r>
          <w:rPr>
            <w:rStyle w:val="Hyperlink"/>
          </w:rPr>
          <w:t xml:space="preserve">https://doi.org/10.3386/w19626</w:t>
        </w:r>
      </w:hyperlink>
      <w:r>
        <w:t xml:space="preserve">.</w:t>
      </w:r>
    </w:p>
    <w:bookmarkEnd w:id="87"/>
    <w:bookmarkStart w:id="88"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88"/>
    <w:bookmarkStart w:id="89"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89"/>
    <w:bookmarkEnd w:id="90"/>
    <w:p>
      <w:r>
        <w:br w:type="page"/>
      </w:r>
    </w:p>
    <w:bookmarkEnd w:id="91"/>
    <w:bookmarkStart w:id="96" w:name="tables"/>
    <w:p>
      <w:pPr>
        <w:pStyle w:val="Heading1"/>
      </w:pPr>
      <w:r>
        <w:t xml:space="preserve">Tables</w:t>
      </w:r>
    </w:p>
    <w:p>
      <w:pPr>
        <w:pStyle w:val="TableCaption"/>
      </w:pPr>
      <w:bookmarkStart w:id="92" w:name="tab:desc"/>
      <w:bookmarkEnd w:id="92"/>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n_weighted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93" w:name="tab:prop-regression"/>
      <w:bookmarkEnd w:id="93"/>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-0.584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0.114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1.104 **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94" w:name="tab:gay-prop-regression"/>
      <w:bookmarkEnd w:id="94"/>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-0.095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-0.101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(0.029)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-5.589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-5.374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(2.410)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0.623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(0.247)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0.159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-1.016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(3.825)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-0.338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-0.266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p>
      <w:pPr>
        <w:pStyle w:val="TableCaption"/>
      </w:pPr>
      <w:bookmarkStart w:id="95" w:name="tab:poisson-regression-separate"/>
      <w:bookmarkEnd w:id="95"/>
      <w:r>
        <w:t xml:space="preserve">Table 4:</w:t>
      </w:r>
      <w:r>
        <w:t xml:space="preserve"> </w:t>
      </w:r>
      <w:r>
        <w:t xml:space="preserve">Quasi-poisson models by PUMA, regressed on PUMA-level factors, separately by group</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0.693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(0.162)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-0.093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0.728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0.120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(0.236)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0.055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0.008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31826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logLik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r>
      <w:tr>
        <w:trPr>
          <w:trHeight w:val="360" w:hRule="auto"/>
        </w:trPr>
        body38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body40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AIC</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r>
      <w:tr>
        <w:trPr>
          <w:trHeight w:val="360" w:hRule="auto"/>
        </w:trPr>
        body41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bookmarkEnd w:id="96"/>
    <w:bookmarkStart w:id="109"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98" name="Picture"/>
            <a:graphic>
              <a:graphicData uri="http://schemas.openxmlformats.org/drawingml/2006/picture">
                <pic:pic>
                  <pic:nvPicPr>
                    <pic:cNvPr descr="ssimm_geo_files/figure-docx/state-map-1.png" id="99" name="Picture"/>
                    <pic:cNvPicPr>
                      <a:picLocks noChangeArrowheads="1" noChangeAspect="1"/>
                    </pic:cNvPicPr>
                  </pic:nvPicPr>
                  <pic:blipFill>
                    <a:blip r:embed="rId9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00" w:name="fig:state-map"/>
      <w:bookmarkEnd w:id="100"/>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102" name="Picture"/>
            <a:graphic>
              <a:graphicData uri="http://schemas.openxmlformats.org/drawingml/2006/picture">
                <pic:pic>
                  <pic:nvPicPr>
                    <pic:cNvPr descr="ssimm_geo_files/figure-docx/desc-time-1-1.png" id="103" name="Picture"/>
                    <pic:cNvPicPr>
                      <a:picLocks noChangeArrowheads="1" noChangeAspect="1"/>
                    </pic:cNvPicPr>
                  </pic:nvPicPr>
                  <pic:blipFill>
                    <a:blip r:embed="rId101"/>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04" w:name="fig:desc-time-1"/>
      <w:bookmarkEnd w:id="104"/>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106" name="Picture"/>
            <a:graphic>
              <a:graphicData uri="http://schemas.openxmlformats.org/drawingml/2006/picture">
                <pic:pic>
                  <pic:nvPicPr>
                    <pic:cNvPr descr="ssimm_geo_files/figure-docx/desc-time-2-1.png" id="107" name="Picture"/>
                    <pic:cNvPicPr>
                      <a:picLocks noChangeArrowheads="1" noChangeAspect="1"/>
                    </pic:cNvPicPr>
                  </pic:nvPicPr>
                  <pic:blipFill>
                    <a:blip r:embed="rId105"/>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08" w:name="fig:desc-time-2"/>
      <w:bookmarkEnd w:id="108"/>
      <w:r>
        <w:t xml:space="preserve">Figure 3: Geographic characteristics (means) over time for immigrants in different- and same-sex couples, based on American Community Survey data for 2008-2022</w:t>
      </w:r>
    </w:p>
    <w:bookmarkEnd w:id="109"/>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97" Target="media/rId97.png"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67" Target="https://doi.org/10.1007/s00148-021-00842-5" TargetMode="External" /><Relationship Type="http://schemas.openxmlformats.org/officeDocument/2006/relationships/hyperlink" Id="rId69" Target="https://doi.org/10.1007/s12122-020-09305-4" TargetMode="External" /><Relationship Type="http://schemas.openxmlformats.org/officeDocument/2006/relationships/hyperlink" Id="rId54" Target="https://doi.org/10.1007/s13524-012-0177-x" TargetMode="External" /><Relationship Type="http://schemas.openxmlformats.org/officeDocument/2006/relationships/hyperlink" Id="rId39" Target="https://doi.org/10.1080/1387698042000273479" TargetMode="External" /><Relationship Type="http://schemas.openxmlformats.org/officeDocument/2006/relationships/hyperlink" Id="rId63" Target="https://doi.org/10.1093/sf/soad108" TargetMode="External" /><Relationship Type="http://schemas.openxmlformats.org/officeDocument/2006/relationships/hyperlink" Id="rId74" Target="https://doi.org/10.1111/j.1944-8287.1999.tb00079.x" TargetMode="External" /><Relationship Type="http://schemas.openxmlformats.org/officeDocument/2006/relationships/hyperlink" Id="rId41" Target="https://doi.org/10.1111/kykl.12206" TargetMode="External" /><Relationship Type="http://schemas.openxmlformats.org/officeDocument/2006/relationships/hyperlink" Id="rId48" Target="https://doi.org/10.1146/annurev-soc-090320-100926" TargetMode="External" /><Relationship Type="http://schemas.openxmlformats.org/officeDocument/2006/relationships/hyperlink" Id="rId43" Target="https://doi.org/10.1177/0002716219857667" TargetMode="External" /><Relationship Type="http://schemas.openxmlformats.org/officeDocument/2006/relationships/hyperlink" Id="rId61" Target="https://doi.org/10.1177/01979183231187623" TargetMode="External" /><Relationship Type="http://schemas.openxmlformats.org/officeDocument/2006/relationships/hyperlink" Id="rId79" Target="https://doi.org/10.1353/dem.2005.0025" TargetMode="External" /><Relationship Type="http://schemas.openxmlformats.org/officeDocument/2006/relationships/hyperlink" Id="rId65" Target="https://doi.org/10.1353/dem.2008.0009" TargetMode="External" /><Relationship Type="http://schemas.openxmlformats.org/officeDocument/2006/relationships/hyperlink" Id="rId84" Target="https://doi.org/10.31235/osf.io/6wx2h" TargetMode="External" /><Relationship Type="http://schemas.openxmlformats.org/officeDocument/2006/relationships/hyperlink" Id="rId86" Target="https://doi.org/10.3386/w19626" TargetMode="External" /><Relationship Type="http://schemas.openxmlformats.org/officeDocument/2006/relationships/hyperlink" Id="rId56" Target="https://doi.org/10.7551/mitpress/3303.001.0001" TargetMode="External" /><Relationship Type="http://schemas.openxmlformats.org/officeDocument/2006/relationships/hyperlink" Id="rId58" Target="https://www.jstor.org/stable/271107" TargetMode="External" /><Relationship Type="http://schemas.openxmlformats.org/officeDocument/2006/relationships/hyperlink" Id="rId45"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67" Target="https://doi.org/10.1007/s00148-021-00842-5" TargetMode="External" /><Relationship Type="http://schemas.openxmlformats.org/officeDocument/2006/relationships/hyperlink" Id="rId69" Target="https://doi.org/10.1007/s12122-020-09305-4" TargetMode="External" /><Relationship Type="http://schemas.openxmlformats.org/officeDocument/2006/relationships/hyperlink" Id="rId54" Target="https://doi.org/10.1007/s13524-012-0177-x" TargetMode="External" /><Relationship Type="http://schemas.openxmlformats.org/officeDocument/2006/relationships/hyperlink" Id="rId39" Target="https://doi.org/10.1080/1387698042000273479" TargetMode="External" /><Relationship Type="http://schemas.openxmlformats.org/officeDocument/2006/relationships/hyperlink" Id="rId63" Target="https://doi.org/10.1093/sf/soad108" TargetMode="External" /><Relationship Type="http://schemas.openxmlformats.org/officeDocument/2006/relationships/hyperlink" Id="rId74" Target="https://doi.org/10.1111/j.1944-8287.1999.tb00079.x" TargetMode="External" /><Relationship Type="http://schemas.openxmlformats.org/officeDocument/2006/relationships/hyperlink" Id="rId41" Target="https://doi.org/10.1111/kykl.12206" TargetMode="External" /><Relationship Type="http://schemas.openxmlformats.org/officeDocument/2006/relationships/hyperlink" Id="rId48" Target="https://doi.org/10.1146/annurev-soc-090320-100926" TargetMode="External" /><Relationship Type="http://schemas.openxmlformats.org/officeDocument/2006/relationships/hyperlink" Id="rId43" Target="https://doi.org/10.1177/0002716219857667" TargetMode="External" /><Relationship Type="http://schemas.openxmlformats.org/officeDocument/2006/relationships/hyperlink" Id="rId61" Target="https://doi.org/10.1177/01979183231187623" TargetMode="External" /><Relationship Type="http://schemas.openxmlformats.org/officeDocument/2006/relationships/hyperlink" Id="rId79" Target="https://doi.org/10.1353/dem.2005.0025" TargetMode="External" /><Relationship Type="http://schemas.openxmlformats.org/officeDocument/2006/relationships/hyperlink" Id="rId65" Target="https://doi.org/10.1353/dem.2008.0009" TargetMode="External" /><Relationship Type="http://schemas.openxmlformats.org/officeDocument/2006/relationships/hyperlink" Id="rId84" Target="https://doi.org/10.31235/osf.io/6wx2h" TargetMode="External" /><Relationship Type="http://schemas.openxmlformats.org/officeDocument/2006/relationships/hyperlink" Id="rId86" Target="https://doi.org/10.3386/w19626" TargetMode="External" /><Relationship Type="http://schemas.openxmlformats.org/officeDocument/2006/relationships/hyperlink" Id="rId56" Target="https://doi.org/10.7551/mitpress/3303.001.0001" TargetMode="External" /><Relationship Type="http://schemas.openxmlformats.org/officeDocument/2006/relationships/hyperlink" Id="rId58" Target="https://www.jstor.org/stable/271107" TargetMode="External" /><Relationship Type="http://schemas.openxmlformats.org/officeDocument/2006/relationships/hyperlink" Id="rId45"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2024-08-31T02:55:30Z</dcterms:created>
  <dcterms:modified xsi:type="dcterms:W3CDTF">2024-08-31T02:55:30Z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30,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